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kinsoku/>
        <w:wordWrap/>
        <w:overflowPunct/>
        <w:topLinePunct w:val="0"/>
        <w:autoSpaceDE/>
        <w:autoSpaceDN/>
        <w:bidi w:val="0"/>
        <w:adjustRightInd/>
        <w:snapToGrid/>
        <w:spacing w:line="480" w:lineRule="auto"/>
        <w:ind w:firstLine="0" w:firstLineChars="0"/>
        <w:jc w:val="center"/>
        <w:textAlignment w:val="baseline"/>
        <w:outlineLvl w:val="9"/>
        <w:rPr>
          <w:rStyle w:val="13"/>
          <w:rFonts w:hint="eastAsia" w:ascii="宋体" w:hAnsi="宋体" w:eastAsia="宋体" w:cs="宋体"/>
          <w:bCs/>
          <w:color w:val="000000"/>
          <w:sz w:val="24"/>
          <w:szCs w:val="24"/>
          <w:highlight w:val="none"/>
          <w:lang w:eastAsia="zh-CN"/>
        </w:rPr>
      </w:pPr>
      <w:r>
        <w:rPr>
          <w:rStyle w:val="13"/>
          <w:rFonts w:hint="eastAsia" w:ascii="宋体" w:hAnsi="宋体" w:eastAsia="宋体" w:cs="宋体"/>
          <w:bCs/>
          <w:color w:val="000000"/>
          <w:sz w:val="24"/>
          <w:szCs w:val="24"/>
          <w:highlight w:val="none"/>
          <w:lang w:eastAsia="zh-CN"/>
        </w:rPr>
        <w:t>天津市粮食和物资储备局</w:t>
      </w:r>
      <w:r>
        <w:rPr>
          <w:rStyle w:val="13"/>
          <w:rFonts w:hint="eastAsia" w:ascii="宋体" w:hAnsi="宋体" w:eastAsia="宋体" w:cs="宋体"/>
          <w:bCs/>
          <w:color w:val="000000"/>
          <w:sz w:val="24"/>
          <w:szCs w:val="24"/>
          <w:highlight w:val="none"/>
          <w:lang w:val="en-US" w:eastAsia="zh-CN"/>
        </w:rPr>
        <w:t xml:space="preserve">  国家粮食和物资储备局北京局</w:t>
      </w:r>
      <w:r>
        <w:rPr>
          <w:rStyle w:val="13"/>
          <w:rFonts w:hint="eastAsia" w:ascii="宋体" w:hAnsi="宋体" w:eastAsia="宋体" w:cs="宋体"/>
          <w:bCs/>
          <w:color w:val="000000"/>
          <w:sz w:val="24"/>
          <w:szCs w:val="24"/>
          <w:highlight w:val="none"/>
          <w:lang w:eastAsia="zh-CN"/>
        </w:rPr>
        <w:t>关于印发《天津市粮食企业信用监管实施细则（试行）》的通知</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center"/>
        <w:textAlignment w:val="auto"/>
        <w:outlineLvl w:val="9"/>
        <w:rPr>
          <w:rFonts w:hint="eastAsia"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val="en-US" w:eastAsia="zh-CN"/>
        </w:rPr>
        <w:t>津粮</w:t>
      </w:r>
      <w:r>
        <w:rPr>
          <w:rFonts w:hint="eastAsia" w:ascii="宋体" w:hAnsi="宋体" w:eastAsia="宋体" w:cs="宋体"/>
          <w:color w:val="000000"/>
          <w:sz w:val="24"/>
          <w:szCs w:val="24"/>
          <w:highlight w:val="none"/>
          <w:lang w:val="en-US" w:eastAsia="zh-CN"/>
        </w:rPr>
        <w:t>规</w:t>
      </w:r>
      <w:r>
        <w:rPr>
          <w:rFonts w:hint="default" w:ascii="宋体" w:hAnsi="宋体" w:eastAsia="宋体" w:cs="宋体"/>
          <w:color w:val="000000"/>
          <w:sz w:val="24"/>
          <w:szCs w:val="24"/>
          <w:highlight w:val="none"/>
          <w:lang w:val="en-US" w:eastAsia="zh-CN"/>
        </w:rPr>
        <w:t>〔202</w:t>
      </w:r>
      <w:r>
        <w:rPr>
          <w:rFonts w:hint="eastAsia" w:ascii="宋体" w:hAnsi="宋体" w:eastAsia="宋体" w:cs="宋体"/>
          <w:color w:val="000000"/>
          <w:sz w:val="24"/>
          <w:szCs w:val="24"/>
          <w:highlight w:val="none"/>
          <w:lang w:val="en-US" w:eastAsia="zh-CN"/>
        </w:rPr>
        <w:t>3</w:t>
      </w:r>
      <w:r>
        <w:rPr>
          <w:rFonts w:hint="default" w:ascii="宋体" w:hAnsi="宋体" w:eastAsia="宋体" w:cs="宋体"/>
          <w:color w:val="000000"/>
          <w:sz w:val="24"/>
          <w:szCs w:val="24"/>
          <w:highlight w:val="none"/>
          <w:lang w:val="en-US" w:eastAsia="zh-CN"/>
        </w:rPr>
        <w:t>〕</w:t>
      </w:r>
      <w:r>
        <w:rPr>
          <w:rFonts w:hint="eastAsia" w:ascii="宋体" w:hAnsi="宋体" w:eastAsia="宋体" w:cs="宋体"/>
          <w:color w:val="000000"/>
          <w:sz w:val="24"/>
          <w:szCs w:val="24"/>
          <w:highlight w:val="none"/>
          <w:lang w:val="en-US" w:eastAsia="zh-CN"/>
        </w:rPr>
        <w:t>2</w:t>
      </w:r>
      <w:r>
        <w:rPr>
          <w:rFonts w:hint="default" w:ascii="宋体" w:hAnsi="宋体" w:eastAsia="宋体" w:cs="宋体"/>
          <w:color w:val="000000"/>
          <w:sz w:val="24"/>
          <w:szCs w:val="24"/>
          <w:highlight w:val="none"/>
          <w:lang w:val="en-US" w:eastAsia="zh-CN"/>
        </w:rPr>
        <w:t>号</w:t>
      </w:r>
    </w:p>
    <w:p>
      <w:pPr>
        <w:keepNext w:val="0"/>
        <w:keepLines w:val="0"/>
        <w:pageBreakBefore w:val="0"/>
        <w:widowControl w:val="0"/>
        <w:kinsoku/>
        <w:wordWrap/>
        <w:overflowPunct/>
        <w:topLinePunct w:val="0"/>
        <w:autoSpaceDE/>
        <w:autoSpaceDN/>
        <w:bidi w:val="0"/>
        <w:adjustRightInd/>
        <w:snapToGrid/>
        <w:spacing w:line="480" w:lineRule="auto"/>
        <w:ind w:firstLine="0" w:firstLineChars="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各区粮食行政管理部门，中国天津粮油批发交易市场，天津市粮食储备有</w:t>
      </w:r>
      <w:bookmarkStart w:id="0" w:name="_GoBack"/>
      <w:bookmarkEnd w:id="0"/>
      <w:r>
        <w:rPr>
          <w:rFonts w:hint="eastAsia" w:ascii="宋体" w:hAnsi="宋体" w:eastAsia="宋体" w:cs="宋体"/>
          <w:color w:val="000000"/>
          <w:sz w:val="24"/>
          <w:szCs w:val="24"/>
          <w:highlight w:val="none"/>
          <w:lang w:val="en-US" w:eastAsia="zh-CN"/>
        </w:rPr>
        <w:t>限公司，局机关各处室：</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为推进我市粮食企业信用体系建设，规范我市粮食企业信用监管活动，促进粮食企业守法经营和诚信自律，维护良好的粮食流通信用环境和粮食流通秩序，根据《粮食流通管理条例》《天津市社会信用条例》《粮食企业信用监管办法（试行）》等有关规定，结合我市粮食流通工作实际，制定了《天津市粮食企业信用监管实施细则（试行）》，现印发给你们。各级粮食行政管理部门和各相关单位要做好制度衔接，积极开展守信激励和失信惩戒工作。</w:t>
      </w:r>
    </w:p>
    <w:p>
      <w:pPr>
        <w:pStyle w:val="3"/>
        <w:keepNext w:val="0"/>
        <w:keepLines w:val="0"/>
        <w:pageBreakBefore w:val="0"/>
        <w:widowControl w:val="0"/>
        <w:kinsoku/>
        <w:wordWrap/>
        <w:overflowPunct/>
        <w:topLinePunct w:val="0"/>
        <w:autoSpaceDE/>
        <w:autoSpaceDN/>
        <w:bidi w:val="0"/>
        <w:adjustRightInd/>
        <w:snapToGrid/>
        <w:spacing w:after="0" w:line="480" w:lineRule="auto"/>
        <w:ind w:firstLine="454" w:firstLineChars="200"/>
        <w:jc w:val="both"/>
        <w:textAlignment w:val="auto"/>
        <w:outlineLvl w:val="9"/>
        <w:rPr>
          <w:rFonts w:hint="eastAsia" w:ascii="宋体" w:hAnsi="宋体" w:eastAsia="宋体" w:cs="宋体"/>
          <w:color w:val="000000"/>
          <w:sz w:val="24"/>
          <w:szCs w:val="24"/>
          <w:highlight w:val="none"/>
          <w:lang w:val="en-US" w:eastAsia="zh-CN"/>
        </w:rPr>
      </w:pPr>
    </w:p>
    <w:p>
      <w:pPr>
        <w:pStyle w:val="3"/>
        <w:keepNext w:val="0"/>
        <w:keepLines w:val="0"/>
        <w:pageBreakBefore w:val="0"/>
        <w:widowControl w:val="0"/>
        <w:kinsoku/>
        <w:wordWrap/>
        <w:overflowPunct/>
        <w:topLinePunct w:val="0"/>
        <w:autoSpaceDE/>
        <w:autoSpaceDN/>
        <w:bidi w:val="0"/>
        <w:adjustRightInd/>
        <w:snapToGrid/>
        <w:spacing w:after="0" w:line="480" w:lineRule="auto"/>
        <w:ind w:firstLine="454" w:firstLineChars="200"/>
        <w:jc w:val="both"/>
        <w:textAlignment w:val="auto"/>
        <w:outlineLvl w:val="9"/>
        <w:rPr>
          <w:rFonts w:hint="eastAsia" w:ascii="宋体" w:hAnsi="宋体" w:eastAsia="宋体" w:cs="宋体"/>
          <w:color w:val="000000"/>
          <w:sz w:val="24"/>
          <w:szCs w:val="24"/>
          <w:highlight w:val="none"/>
          <w:lang w:val="en-US" w:eastAsia="zh-CN"/>
        </w:rPr>
      </w:pPr>
    </w:p>
    <w:p>
      <w:pPr>
        <w:pStyle w:val="3"/>
        <w:keepNext w:val="0"/>
        <w:keepLines w:val="0"/>
        <w:pageBreakBefore w:val="0"/>
        <w:widowControl w:val="0"/>
        <w:kinsoku/>
        <w:wordWrap/>
        <w:overflowPunct/>
        <w:topLinePunct w:val="0"/>
        <w:autoSpaceDE/>
        <w:autoSpaceDN/>
        <w:bidi w:val="0"/>
        <w:adjustRightInd/>
        <w:snapToGrid/>
        <w:spacing w:after="0" w:line="480" w:lineRule="auto"/>
        <w:ind w:firstLine="454" w:firstLineChars="200"/>
        <w:jc w:val="both"/>
        <w:textAlignment w:val="auto"/>
        <w:outlineLvl w:val="9"/>
        <w:rPr>
          <w:rFonts w:hint="eastAsia" w:ascii="宋体" w:hAnsi="宋体" w:eastAsia="宋体" w:cs="宋体"/>
          <w:color w:val="000000"/>
          <w:sz w:val="24"/>
          <w:szCs w:val="24"/>
          <w:highlight w:val="none"/>
          <w:lang w:val="en-US" w:eastAsia="zh-CN"/>
        </w:rPr>
      </w:pPr>
    </w:p>
    <w:p>
      <w:pPr>
        <w:pStyle w:val="3"/>
        <w:keepNext w:val="0"/>
        <w:keepLines w:val="0"/>
        <w:pageBreakBefore w:val="0"/>
        <w:widowControl w:val="0"/>
        <w:kinsoku/>
        <w:wordWrap/>
        <w:overflowPunct/>
        <w:topLinePunct w:val="0"/>
        <w:autoSpaceDE/>
        <w:autoSpaceDN/>
        <w:bidi w:val="0"/>
        <w:adjustRightInd/>
        <w:snapToGrid/>
        <w:spacing w:after="0" w:line="480" w:lineRule="auto"/>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 xml:space="preserve">  天津</w:t>
      </w:r>
      <w:r>
        <w:rPr>
          <w:rFonts w:hint="eastAsia" w:ascii="宋体" w:hAnsi="宋体" w:eastAsia="宋体" w:cs="宋体"/>
          <w:color w:val="000000"/>
          <w:sz w:val="24"/>
          <w:szCs w:val="24"/>
          <w:highlight w:val="none"/>
          <w:lang w:val="en-US" w:eastAsia="zh-CN"/>
        </w:rPr>
        <w:t xml:space="preserve">市粮食和物资储备局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国家粮食和物资储备局北京局</w:t>
      </w:r>
    </w:p>
    <w:p>
      <w:pPr>
        <w:pStyle w:val="3"/>
        <w:keepNext w:val="0"/>
        <w:keepLines w:val="0"/>
        <w:pageBreakBefore w:val="0"/>
        <w:widowControl w:val="0"/>
        <w:kinsoku/>
        <w:wordWrap/>
        <w:overflowPunct/>
        <w:topLinePunct w:val="0"/>
        <w:autoSpaceDE/>
        <w:autoSpaceDN/>
        <w:bidi w:val="0"/>
        <w:adjustRightInd/>
        <w:snapToGrid/>
        <w:spacing w:after="0" w:line="480" w:lineRule="auto"/>
        <w:ind w:firstLine="4086" w:firstLineChars="1800"/>
        <w:jc w:val="both"/>
        <w:textAlignment w:val="auto"/>
        <w:outlineLvl w:val="9"/>
        <w:rPr>
          <w:rFonts w:hint="eastAsia" w:ascii="宋体" w:hAnsi="宋体" w:eastAsia="宋体" w:cs="宋体"/>
          <w:color w:val="000000"/>
          <w:sz w:val="24"/>
          <w:szCs w:val="24"/>
          <w:highlight w:val="none"/>
          <w:lang w:val="en-US" w:eastAsia="zh-CN"/>
        </w:rPr>
      </w:pPr>
    </w:p>
    <w:p>
      <w:pPr>
        <w:pStyle w:val="3"/>
        <w:keepNext w:val="0"/>
        <w:keepLines w:val="0"/>
        <w:pageBreakBefore w:val="0"/>
        <w:widowControl w:val="0"/>
        <w:kinsoku/>
        <w:wordWrap/>
        <w:overflowPunct/>
        <w:topLinePunct w:val="0"/>
        <w:autoSpaceDE/>
        <w:autoSpaceDN/>
        <w:bidi w:val="0"/>
        <w:adjustRightInd/>
        <w:snapToGrid/>
        <w:spacing w:after="0" w:line="480" w:lineRule="auto"/>
        <w:ind w:firstLine="4540" w:firstLineChars="20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202</w:t>
      </w:r>
      <w:r>
        <w:rPr>
          <w:rFonts w:hint="eastAsia" w:ascii="宋体" w:hAnsi="宋体" w:eastAsia="宋体" w:cs="宋体"/>
          <w:color w:val="000000"/>
          <w:sz w:val="24"/>
          <w:szCs w:val="24"/>
          <w:highlight w:val="none"/>
          <w:lang w:val="en-US" w:eastAsia="zh-CN"/>
        </w:rPr>
        <w:t>3</w:t>
      </w:r>
      <w:r>
        <w:rPr>
          <w:rFonts w:hint="eastAsia" w:ascii="宋体" w:hAnsi="宋体" w:eastAsia="宋体" w:cs="宋体"/>
          <w:color w:val="000000"/>
          <w:sz w:val="24"/>
          <w:szCs w:val="24"/>
          <w:highlight w:val="none"/>
          <w:lang w:val="en-US" w:eastAsia="zh-CN"/>
        </w:rPr>
        <w:t>年</w:t>
      </w:r>
      <w:r>
        <w:rPr>
          <w:rFonts w:hint="eastAsia" w:ascii="宋体" w:hAnsi="宋体" w:eastAsia="宋体" w:cs="宋体"/>
          <w:color w:val="000000"/>
          <w:sz w:val="24"/>
          <w:szCs w:val="24"/>
          <w:highlight w:val="none"/>
          <w:lang w:val="en-US" w:eastAsia="zh-CN"/>
        </w:rPr>
        <w:t>3</w:t>
      </w:r>
      <w:r>
        <w:rPr>
          <w:rFonts w:hint="eastAsia" w:ascii="宋体" w:hAnsi="宋体" w:eastAsia="宋体" w:cs="宋体"/>
          <w:color w:val="000000"/>
          <w:sz w:val="24"/>
          <w:szCs w:val="24"/>
          <w:highlight w:val="none"/>
          <w:lang w:val="en-US" w:eastAsia="zh-CN"/>
        </w:rPr>
        <w:t>月</w:t>
      </w:r>
      <w:r>
        <w:rPr>
          <w:rFonts w:hint="eastAsia" w:ascii="宋体" w:hAnsi="宋体" w:eastAsia="宋体" w:cs="宋体"/>
          <w:color w:val="000000"/>
          <w:sz w:val="24"/>
          <w:szCs w:val="24"/>
          <w:highlight w:val="none"/>
          <w:lang w:val="en-US" w:eastAsia="zh-CN"/>
        </w:rPr>
        <w:t>30</w:t>
      </w:r>
      <w:r>
        <w:rPr>
          <w:rFonts w:hint="eastAsia" w:ascii="宋体" w:hAnsi="宋体" w:eastAsia="宋体" w:cs="宋体"/>
          <w:color w:val="000000"/>
          <w:sz w:val="24"/>
          <w:szCs w:val="24"/>
          <w:highlight w:val="none"/>
          <w:lang w:val="en-US" w:eastAsia="zh-CN"/>
        </w:rPr>
        <w:t>日</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kern w:val="2"/>
          <w:sz w:val="24"/>
          <w:szCs w:val="24"/>
          <w:highlight w:val="none"/>
          <w:lang w:val="en-US" w:eastAsia="zh-CN" w:bidi="ar-SA"/>
        </w:rPr>
        <w:t>（此件主动公开</w:t>
      </w:r>
      <w:r>
        <w:rPr>
          <w:rFonts w:hint="eastAsia" w:ascii="宋体" w:hAnsi="宋体" w:eastAsia="宋体" w:cs="宋体"/>
          <w:color w:val="000000"/>
          <w:kern w:val="2"/>
          <w:sz w:val="24"/>
          <w:szCs w:val="24"/>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ind w:firstLine="0" w:firstLineChars="0"/>
        <w:jc w:val="both"/>
        <w:textAlignment w:val="auto"/>
        <w:outlineLvl w:val="9"/>
        <w:rPr>
          <w:rFonts w:hint="eastAsia" w:ascii="宋体" w:hAnsi="宋体" w:eastAsia="宋体" w:cs="宋体"/>
          <w:color w:val="000000"/>
          <w:sz w:val="24"/>
          <w:szCs w:val="24"/>
          <w:highlight w:val="none"/>
          <w:lang w:val="en-US" w:eastAsia="zh-CN"/>
        </w:rPr>
        <w:sectPr>
          <w:footerReference r:id="rId3" w:type="default"/>
          <w:footerReference r:id="rId4" w:type="even"/>
          <w:pgSz w:w="11906" w:h="16838"/>
          <w:pgMar w:top="2098" w:right="1474" w:bottom="1984" w:left="1587" w:header="851" w:footer="1389" w:gutter="0"/>
          <w:pgNumType w:fmt="numberInDash"/>
          <w:cols w:space="0" w:num="1"/>
          <w:rtlGutter w:val="0"/>
          <w:docGrid w:type="linesAndChars" w:linePitch="579" w:charSpace="-2754"/>
        </w:sectPr>
      </w:pPr>
    </w:p>
    <w:p>
      <w:pPr>
        <w:keepNext w:val="0"/>
        <w:keepLines w:val="0"/>
        <w:pageBreakBefore w:val="0"/>
        <w:widowControl/>
        <w:kinsoku/>
        <w:wordWrap/>
        <w:overflowPunct/>
        <w:topLinePunct w:val="0"/>
        <w:autoSpaceDE/>
        <w:autoSpaceDN/>
        <w:bidi w:val="0"/>
        <w:adjustRightInd/>
        <w:snapToGrid/>
        <w:spacing w:line="480" w:lineRule="auto"/>
        <w:ind w:firstLine="0" w:firstLineChars="0"/>
        <w:jc w:val="center"/>
        <w:textAlignment w:val="baseline"/>
        <w:outlineLvl w:val="9"/>
        <w:rPr>
          <w:rStyle w:val="13"/>
          <w:rFonts w:hint="eastAsia" w:ascii="宋体" w:hAnsi="宋体" w:eastAsia="宋体" w:cs="宋体"/>
          <w:bCs/>
          <w:color w:val="000000"/>
          <w:sz w:val="24"/>
          <w:szCs w:val="24"/>
          <w:highlight w:val="none"/>
          <w:lang w:eastAsia="zh-CN"/>
        </w:rPr>
      </w:pPr>
      <w:r>
        <w:rPr>
          <w:rStyle w:val="13"/>
          <w:rFonts w:hint="eastAsia" w:ascii="宋体" w:hAnsi="宋体" w:eastAsia="宋体" w:cs="宋体"/>
          <w:bCs/>
          <w:color w:val="000000"/>
          <w:sz w:val="24"/>
          <w:szCs w:val="24"/>
          <w:highlight w:val="none"/>
          <w:lang w:eastAsia="zh-CN"/>
        </w:rPr>
        <w:t>天津市粮食企业信用监管实施细则（试行）</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第一章</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总</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则</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第一条</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为推进我市粮食企业信用体系建设，规范我市粮食企业信用监管活动，促进粮食企业守法经营和诚信自律，维护良好的粮食流通信用环境和粮食流通秩序，根据《粮食流通管理条例》《天津市社会信用条例》《粮食企业信用监管办法（试行）》等有关规定，结合我市粮食流通工作实际，制定本实施细则。</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第二条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本细则适用于我市行政区域内从事粮食（含大豆、油料、食用植物油）收购、储存和政策性粮食购销等经营活动，以及执行国家粮食流通统计制度的企业。</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第三条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eastAsia="zh-CN"/>
        </w:rPr>
        <w:t>天津</w:t>
      </w:r>
      <w:r>
        <w:rPr>
          <w:rFonts w:hint="eastAsia" w:ascii="宋体" w:hAnsi="宋体" w:eastAsia="宋体" w:cs="宋体"/>
          <w:color w:val="000000"/>
          <w:sz w:val="24"/>
          <w:szCs w:val="24"/>
          <w:highlight w:val="none"/>
        </w:rPr>
        <w:t>市粮食和物资</w:t>
      </w:r>
      <w:r>
        <w:rPr>
          <w:rFonts w:hint="eastAsia" w:ascii="宋体" w:hAnsi="宋体" w:eastAsia="宋体" w:cs="宋体"/>
          <w:color w:val="000000"/>
          <w:sz w:val="24"/>
          <w:szCs w:val="24"/>
          <w:highlight w:val="none"/>
          <w:lang w:eastAsia="zh-CN"/>
        </w:rPr>
        <w:t>储备</w:t>
      </w:r>
      <w:r>
        <w:rPr>
          <w:rFonts w:hint="eastAsia" w:ascii="宋体" w:hAnsi="宋体" w:eastAsia="宋体" w:cs="宋体"/>
          <w:color w:val="000000"/>
          <w:sz w:val="24"/>
          <w:szCs w:val="24"/>
          <w:highlight w:val="none"/>
        </w:rPr>
        <w:t>局负责我市地方粮食企业信用监管工作的具体组织、实施，推进粮食企业信用监管信息化应用；国家粮食和储备局北京局负责中储粮集团在津粮食企业信用监管工作的具体组织、实施，共享信用评价结果，协同开展信用评价相关工作；各区粮食行政管理部门负责对辖区内地方粮食企业的信用等级作出具体评价，并合理运用评价结果，督促粮食企业依法诚信开展经营活动。</w:t>
      </w:r>
    </w:p>
    <w:p>
      <w:pPr>
        <w:pStyle w:val="2"/>
        <w:spacing w:line="480" w:lineRule="auto"/>
        <w:rPr>
          <w:rFonts w:hint="eastAsia" w:ascii="宋体" w:hAnsi="宋体" w:eastAsia="宋体" w:cs="宋体"/>
          <w:color w:val="00000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第二章  信用信息的归集</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第四条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rPr>
        <w:t>粮食行政管理部门应严格执行天津市公共信用信息目录，依法归集、使用并共享粮食企业信用信息，支持粮食企业信用信息在其他领域的合法应用，充分发挥信用管理在粮食行业发展中的引导作用。</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第五条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rPr>
        <w:t>粮食行政管理部门应当以统一社会信用代码为标识建立粮食企业信用档案，记录日常监督检查结果、违法行为查处等情况，依托全国粮食企业信用监管平台归集信用信息，对归集的信用信息进行动态管理，并共享至相应的信用信息共享平台和企业信用信息公示系统；指导粮食企业在全国粮食企业信用监管平台及时更新维护本企业基本信息，核验粮食企业录入数据的真实性，并对归集的信用信息进行动态管理。</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第六条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粮食行政管理部门对本辖区的粮食企业作出的行政处罚、奖励等信用信息，应自决定作出之日起7 个工作日内，将有关信用信息录入全国粮食企业信用监管平台</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rPr>
        <w:t>对非本辖区的粮食企业作出的行政处罚、奖励等信用信息，应在决定作出之日起3个工作日内告知企业属地粮食行政管理部门，由其录入全国粮食企业信用监管平台。</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第七条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粮食行政管理部门应当通过全国粮食企业信用监管平台及时归集下列信息，并加强公示管理：</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（一）企业注册登记或者备案及企业相关人员等基本信息，永久公示。企业基本信用信息变更的，应及时在全国粮食企业信用监管平台进行更新维护；</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（二）粮食行政管理部门产生的警告、通报批评的行政处罚信息和适用简易程序作出的行政处罚信息，归集但不公示；</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粮食行政管理部门产生的适用普通程序作出的除警告、通报批评以外的行政处罚信息，最短公示期为1年；最短公示期满但未进行信用修复的，应继续公示，直至完成信用修复。公示期以在全国粮食企业信用监管平台上的实际公示时长为准；</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（四）粮食行政管理部门产生的奖励信息，永久公示。奖励被撤销的，作出撤销决定的部门应及时在全国粮食企业信用监管平台进行更新维护；</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（五）其他国家机关产生的依法可公开的信用信息。上述信用信息变更后，具有管辖权的粮食行政管理部门应及时更新相关信息。</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归集的信息涉及国家秘密、国家安全、社会公共利益、商业秘密或者个人隐私的，应当依照法律、行政法规的规定办理。</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第八条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粮食企业失信信息最短公示期满且经过信用修复的，自同意修复之日起，撤销公示，在全国粮食企业信用监管平台中保存5年，5年内未发生同类失信行为的删除或屏蔽该记录；5年内再次发生同类失信行为的，该记录信息的保存期限重新计算。</w:t>
      </w:r>
    </w:p>
    <w:p>
      <w:pPr>
        <w:pStyle w:val="2"/>
        <w:spacing w:line="480" w:lineRule="auto"/>
        <w:rPr>
          <w:rFonts w:hint="eastAsia" w:ascii="宋体" w:hAnsi="宋体" w:eastAsia="宋体" w:cs="宋体"/>
          <w:color w:val="00000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第三章</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信用评价</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第九条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粮食企业信用评价周期为一年，评价时间从每年1月1日起至12月31日止。全国粮食企业信用监管平台的年度信用评价工作，应于每年1月底前完成。自注册之日起不满一年的企业，不纳入当期评价范围，相关记录转入下年度。</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第十条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rPr>
        <w:t>市粮食和物资局汇总整理地方粮食企业和中储粮集团在津粮食企业信用信息后，形成我市粮食企业信用评价结果，在每年2月底前共享至市信用信息共享平台。</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 xml:space="preserve">第十一条  </w:t>
      </w:r>
      <w:r>
        <w:rPr>
          <w:rFonts w:hint="eastAsia" w:ascii="宋体" w:hAnsi="宋体" w:eastAsia="宋体" w:cs="宋体"/>
          <w:color w:val="000000"/>
          <w:sz w:val="24"/>
          <w:szCs w:val="24"/>
          <w:highlight w:val="none"/>
        </w:rPr>
        <w:t>我市粮食企业信用评价满分为1000分，由全国粮食企业信用监管平台信用评价满分对应1000分进行折合，采用“四舍五入”的方式进行取整。按照评价结果粮食企业信用等级从高到低依次分为五个等级，950分及以上为A级（优秀）、900分至949分为B级（良好）、750分至899分为C级（中等）、600分至749分为D级（较差）、600分以下为E级（差）。</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全国粮食企业信用监管平台信用评价结果作为各级粮食行政管理部门的内部决策依据参考，原则上不对外公开，被评价企业可以申请查询本企业评价结果；我市粮食企业信用评价结果通报至各区粮食行政管理部门，供被评价企业查询。</w:t>
      </w:r>
    </w:p>
    <w:p>
      <w:pPr>
        <w:pStyle w:val="2"/>
        <w:spacing w:line="480" w:lineRule="auto"/>
        <w:rPr>
          <w:rFonts w:hint="eastAsia" w:ascii="宋体" w:hAnsi="宋体" w:eastAsia="宋体" w:cs="宋体"/>
          <w:color w:val="00000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第四章</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守信激励和失信惩戒</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第十二条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对没有失信信息记录的信用等级为A级（优秀）的粮食企业，粮食行政管理部门可以采取以下激励措施：</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（一）在粮食流通领域财政性资金和项目申报时，符合法律法规规定的同等条件下列为优先选择对象；</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（二）在“双随机”检查时，降低检查频次；</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（三）国家和本市规定的其他激励措施。</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 xml:space="preserve">第十三条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对没有失信信息记录的信用等级为B级（良好）的粮食企业，粮食行政管理部门可以采取以下激励措施：</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（一）在“双随机”检查中，适当降低抽查比例、频次；</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（二）国家和本市规定的其他激励措施。</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 xml:space="preserve">第十四条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对信用等级为D级（较差）的粮食企业，粮食行政管理部门可以依法采取以下惩戒措施：</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（一）在“双随机”检查时，加大检查频次；</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（二）法律、法规和国家有关规定明确的其他惩戒措施。</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 xml:space="preserve">第十五条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对信用等级为E级（差）的粮食企业，粮食行政管理部门可以依法采取以下惩戒措施：</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（一）在日常监管中，列为重点监管对象，每年至少进行两次现场检查;</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（二）对失信主体进行约谈，约谈情况记入信用记录；</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（三）法律、法规和国家有关规定明确的其他惩戒措施。</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 xml:space="preserve">第十六条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鼓励粮食交易中心、地方政府储备运营管理企业等加大信用评价结果应用，探索开展信用奖惩工作。</w:t>
      </w:r>
    </w:p>
    <w:p>
      <w:pPr>
        <w:pStyle w:val="2"/>
        <w:spacing w:line="480" w:lineRule="auto"/>
        <w:rPr>
          <w:rFonts w:hint="eastAsia" w:ascii="宋体" w:hAnsi="宋体" w:eastAsia="宋体" w:cs="宋体"/>
          <w:color w:val="00000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第五章</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权益保护</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第十七条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信用主体对全国粮食企业信用监管平台中的信用信息有异议的，可向属地粮食行政管理部门以书面形式提出异议申请并提供证据材料。属于属地行政管理部门处理范围的，应自收到异议申请之日起3个工作日内完成处理并将结果告知异议申请人；如需向信用信息提供单位核查信息的，应自收到异议申请之日起十个工作日内完成核查和处理并将结果告知异议申请人，接到核查通知的单位应当及时处理。核实后的信息记录，应同步至相关平台。</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第十八条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信用主体对粮食行政管理部门作出的行政处罚信息进行信用修复的，应当向“信用中国”网站提出信用修复申请，按照“信用中国”网站相关要求，提交信用修复承诺书等申请材料。</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粮食行政管理部门应加强同社会信用工作主管部门的沟通协作，及时掌握企业信用修复情况，依据信用修复结果，同步在全国粮食企业信用监管平台对企业信用予以修复。</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第十九条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全国粮食企业信用监管平台中其他国家机关认定的失信行为的信用修复，按照认定机关规定执行。完成信用修复后，具有管辖权的粮食行政管理部门应及时在全国粮食企业信用监管平台撤销相关信息公示。相关信息的处理按照本办法第八条规定执行。</w:t>
      </w:r>
    </w:p>
    <w:p>
      <w:pPr>
        <w:pStyle w:val="2"/>
        <w:spacing w:line="480" w:lineRule="auto"/>
        <w:rPr>
          <w:rFonts w:hint="eastAsia" w:ascii="宋体" w:hAnsi="宋体" w:eastAsia="宋体" w:cs="宋体"/>
          <w:color w:val="00000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第六章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附</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则</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第二十条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本细则下列用语的含义是：</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粮食企业失信行为，是指被国家机关依法给予警告以上行政处罚的行为。</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属地，是指粮食企业登记注册地（中储粮集团在津粮食企业的属地是指国家粮食和物资储备局北京局的管辖地）。</w:t>
      </w:r>
    </w:p>
    <w:p>
      <w:pPr>
        <w:keepNext w:val="0"/>
        <w:keepLines w:val="0"/>
        <w:pageBreakBefore w:val="0"/>
        <w:widowControl w:val="0"/>
        <w:kinsoku/>
        <w:wordWrap/>
        <w:overflowPunct/>
        <w:topLinePunct w:val="0"/>
        <w:autoSpaceDE/>
        <w:autoSpaceDN/>
        <w:bidi w:val="0"/>
        <w:adjustRightInd/>
        <w:snapToGrid/>
        <w:spacing w:line="480" w:lineRule="auto"/>
        <w:ind w:firstLine="454" w:firstLineChars="200"/>
        <w:jc w:val="both"/>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第二十一条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粮食行政管理部门应依法履职，对在粮食企业信用监管工作中不作为、乱作为，造成不良社会影响的，要依法依规依纪追究单位和相关责任人责任。</w:t>
      </w:r>
    </w:p>
    <w:p>
      <w:pPr>
        <w:ind w:rightChars="150" w:firstLine="454" w:firstLineChars="200"/>
        <w:rPr>
          <w:rFonts w:hint="default" w:ascii="Times New Roman" w:hAnsi="Times New Roman" w:eastAsia="仿宋_GB2312" w:cs="Times New Roman"/>
          <w:color w:val="000000"/>
          <w:sz w:val="32"/>
          <w:szCs w:val="32"/>
          <w:highlight w:val="none"/>
          <w:lang w:val="en-US" w:eastAsia="zh-CN"/>
        </w:rPr>
      </w:pPr>
      <w:r>
        <w:rPr>
          <w:rFonts w:hint="eastAsia" w:ascii="宋体" w:hAnsi="宋体" w:eastAsia="宋体" w:cs="宋体"/>
          <w:color w:val="000000"/>
          <w:sz w:val="24"/>
          <w:szCs w:val="24"/>
          <w:highlight w:val="none"/>
          <w:lang w:val="en-US" w:eastAsia="zh-CN"/>
        </w:rPr>
        <w:t>第二十二条</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本办法自2023年</w:t>
      </w:r>
      <w:r>
        <w:rPr>
          <w:rFonts w:hint="eastAsia" w:ascii="宋体" w:hAnsi="宋体" w:eastAsia="宋体" w:cs="宋体"/>
          <w:color w:val="000000"/>
          <w:sz w:val="24"/>
          <w:szCs w:val="24"/>
          <w:highlight w:val="none"/>
          <w:lang w:val="en-US" w:eastAsia="zh-CN"/>
        </w:rPr>
        <w:t>5</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lang w:val="en-US" w:eastAsia="zh-CN"/>
        </w:rPr>
        <w:t>1</w:t>
      </w:r>
      <w:r>
        <w:rPr>
          <w:rFonts w:hint="eastAsia" w:ascii="宋体" w:hAnsi="宋体" w:eastAsia="宋体" w:cs="宋体"/>
          <w:color w:val="000000"/>
          <w:sz w:val="24"/>
          <w:szCs w:val="24"/>
          <w:highlight w:val="none"/>
        </w:rPr>
        <w:t>日起施行，2028年</w:t>
      </w:r>
      <w:r>
        <w:rPr>
          <w:rFonts w:hint="eastAsia" w:ascii="宋体" w:hAnsi="宋体" w:eastAsia="宋体" w:cs="宋体"/>
          <w:color w:val="000000"/>
          <w:sz w:val="24"/>
          <w:szCs w:val="24"/>
          <w:highlight w:val="none"/>
          <w:lang w:val="en-US" w:eastAsia="zh-CN"/>
        </w:rPr>
        <w:t>4</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lang w:val="en-US" w:eastAsia="zh-CN"/>
        </w:rPr>
        <w:t>30</w:t>
      </w:r>
      <w:r>
        <w:rPr>
          <w:rFonts w:hint="eastAsia" w:ascii="宋体" w:hAnsi="宋体" w:eastAsia="宋体" w:cs="宋体"/>
          <w:color w:val="000000"/>
          <w:sz w:val="24"/>
          <w:szCs w:val="24"/>
          <w:highlight w:val="none"/>
        </w:rPr>
        <w:t>日废止。自本办法施行之日起，《市粮食和物资局关于印发&lt;天津市粮食行业信用评价管理办法（试行）&gt;的通知》（津粮规〔2021〕4号）和《市粮食和物资局关于印发天津市粮食行业信用等级评价指标及评分标准的通知》（津粮检查〔2021〕9号）同时废止。</w:t>
      </w:r>
    </w:p>
    <w:sectPr>
      <w:pgSz w:w="11906" w:h="16838"/>
      <w:pgMar w:top="2098" w:right="1474" w:bottom="1984" w:left="1587" w:header="851" w:footer="1389" w:gutter="0"/>
      <w:pgNumType w:fmt="numberInDash"/>
      <w:cols w:space="0" w:num="1"/>
      <w:rtlGutter w:val="0"/>
      <w:docGrid w:type="linesAndChars" w:linePitch="579" w:charSpace="-27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jaVu Sans">
    <w:altName w:val="Segoe Print"/>
    <w:panose1 w:val="020B0603030804020204"/>
    <w:charset w:val="00"/>
    <w:family w:val="roman"/>
    <w:pitch w:val="default"/>
    <w:sig w:usb0="00000000" w:usb1="00000000"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outlineLvl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4"/>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outlineLvl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40" w:firstLineChars="100"/>
      <w:rPr>
        <w:rFonts w:ascii="宋体" w:hAnsi="宋体"/>
        <w:sz w:val="24"/>
      </w:rPr>
    </w:pPr>
    <w:r>
      <w:rPr>
        <w:rFonts w:ascii="宋体" w:hAnsi="宋体"/>
        <w:sz w:val="24"/>
      </w:rPr>
      <w:fldChar w:fldCharType="begin"/>
    </w:r>
    <w:r>
      <w:rPr>
        <w:rFonts w:ascii="宋体" w:hAnsi="宋体"/>
        <w:sz w:val="24"/>
      </w:rPr>
      <w:instrText xml:space="preserve">PAGE   \* MERGEFORMAT</w:instrText>
    </w:r>
    <w:r>
      <w:rPr>
        <w:rFonts w:ascii="宋体" w:hAnsi="宋体"/>
        <w:sz w:val="24"/>
      </w:rPr>
      <w:fldChar w:fldCharType="separate"/>
    </w:r>
    <w:r>
      <w:rPr>
        <w:rFonts w:ascii="宋体" w:hAnsi="宋体"/>
        <w:sz w:val="24"/>
        <w:lang w:val="zh-CN"/>
      </w:rPr>
      <w:t>-</w:t>
    </w:r>
    <w:r>
      <w:rPr>
        <w:rFonts w:ascii="宋体" w:hAnsi="宋体"/>
        <w:sz w:val="24"/>
      </w:rPr>
      <w:t xml:space="preserve"> 2 -</w:t>
    </w:r>
    <w:r>
      <w:rPr>
        <w:rFonts w:ascii="宋体" w:hAnsi="宋体"/>
        <w:sz w:val="24"/>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98"/>
  <w:drawingGridVerticalSpacing w:val="290"/>
  <w:displayHorizontalDrawingGridEvery w:val="2"/>
  <w:displayVerticalDrawingGridEvery w:val="2"/>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3ZDk4ZTRkODI5NjNlN2Q3NDg3Mjg5OTg3ZTQ3NzUifQ=="/>
  </w:docVars>
  <w:rsids>
    <w:rsidRoot w:val="00172A27"/>
    <w:rsid w:val="032E03D4"/>
    <w:rsid w:val="04722738"/>
    <w:rsid w:val="06E5F7DD"/>
    <w:rsid w:val="06F91EAB"/>
    <w:rsid w:val="0DEF01E8"/>
    <w:rsid w:val="0E9961F6"/>
    <w:rsid w:val="0F778EB4"/>
    <w:rsid w:val="16AECE39"/>
    <w:rsid w:val="1A3BAB22"/>
    <w:rsid w:val="1AEA33E6"/>
    <w:rsid w:val="1B5F439E"/>
    <w:rsid w:val="1BF98630"/>
    <w:rsid w:val="1E5FF333"/>
    <w:rsid w:val="1EBB0091"/>
    <w:rsid w:val="1EDF40C8"/>
    <w:rsid w:val="1F7FC3A7"/>
    <w:rsid w:val="1FBED012"/>
    <w:rsid w:val="1FBF497B"/>
    <w:rsid w:val="1FDB2458"/>
    <w:rsid w:val="1FE7318D"/>
    <w:rsid w:val="2072F86A"/>
    <w:rsid w:val="22AF3F56"/>
    <w:rsid w:val="27AE931B"/>
    <w:rsid w:val="2BEF51CB"/>
    <w:rsid w:val="2BF812EC"/>
    <w:rsid w:val="2F7F1E68"/>
    <w:rsid w:val="355EF74F"/>
    <w:rsid w:val="3607A4B0"/>
    <w:rsid w:val="36EFE6B8"/>
    <w:rsid w:val="376F7827"/>
    <w:rsid w:val="376F8321"/>
    <w:rsid w:val="37D14772"/>
    <w:rsid w:val="37DC07C1"/>
    <w:rsid w:val="37EC667E"/>
    <w:rsid w:val="37EFD105"/>
    <w:rsid w:val="38BD094B"/>
    <w:rsid w:val="38BD4448"/>
    <w:rsid w:val="3967621D"/>
    <w:rsid w:val="39A74A80"/>
    <w:rsid w:val="3A67EBBB"/>
    <w:rsid w:val="3ADF2DAD"/>
    <w:rsid w:val="3AE77F78"/>
    <w:rsid w:val="3B7BA308"/>
    <w:rsid w:val="3BB5E7A5"/>
    <w:rsid w:val="3BFF2BFB"/>
    <w:rsid w:val="3D36C98C"/>
    <w:rsid w:val="3D6D60D2"/>
    <w:rsid w:val="3D77740D"/>
    <w:rsid w:val="3DD673D1"/>
    <w:rsid w:val="3DD7B3FB"/>
    <w:rsid w:val="3DE69F97"/>
    <w:rsid w:val="3DF2E041"/>
    <w:rsid w:val="3DF3D19A"/>
    <w:rsid w:val="3DFF6779"/>
    <w:rsid w:val="3EB6146C"/>
    <w:rsid w:val="3F4D891A"/>
    <w:rsid w:val="3F75C5A6"/>
    <w:rsid w:val="3F7E0C72"/>
    <w:rsid w:val="3F9EEB46"/>
    <w:rsid w:val="3FB75E99"/>
    <w:rsid w:val="3FDF80DE"/>
    <w:rsid w:val="3FF7D5DA"/>
    <w:rsid w:val="3FFF3299"/>
    <w:rsid w:val="4709DEEC"/>
    <w:rsid w:val="4DFBC1F9"/>
    <w:rsid w:val="4E7DAEE5"/>
    <w:rsid w:val="4EE61E20"/>
    <w:rsid w:val="4F3B493D"/>
    <w:rsid w:val="4F7F55ED"/>
    <w:rsid w:val="4FDF5F43"/>
    <w:rsid w:val="4FEF7D2C"/>
    <w:rsid w:val="541B0AFD"/>
    <w:rsid w:val="567D7DBC"/>
    <w:rsid w:val="56EBA41E"/>
    <w:rsid w:val="57E65F27"/>
    <w:rsid w:val="59D93325"/>
    <w:rsid w:val="59E7EFF9"/>
    <w:rsid w:val="5ACD1F69"/>
    <w:rsid w:val="5B4F4875"/>
    <w:rsid w:val="5BBBA787"/>
    <w:rsid w:val="5BED7FF9"/>
    <w:rsid w:val="5BF78E42"/>
    <w:rsid w:val="5BFF0D6E"/>
    <w:rsid w:val="5C5BFE6E"/>
    <w:rsid w:val="5C6E857C"/>
    <w:rsid w:val="5D793B26"/>
    <w:rsid w:val="5DB8EB13"/>
    <w:rsid w:val="5DF6D4C9"/>
    <w:rsid w:val="5DF7722C"/>
    <w:rsid w:val="5DFF4455"/>
    <w:rsid w:val="5DFF8E8B"/>
    <w:rsid w:val="5EF4508B"/>
    <w:rsid w:val="5EFF679B"/>
    <w:rsid w:val="5F735A3C"/>
    <w:rsid w:val="5F7FD28D"/>
    <w:rsid w:val="5FDC381A"/>
    <w:rsid w:val="5FEEF64C"/>
    <w:rsid w:val="5FF7650A"/>
    <w:rsid w:val="5FF7C966"/>
    <w:rsid w:val="61FF5A14"/>
    <w:rsid w:val="62E8EFF5"/>
    <w:rsid w:val="62FFA1D0"/>
    <w:rsid w:val="64D740D2"/>
    <w:rsid w:val="65F7BE1F"/>
    <w:rsid w:val="66BA5279"/>
    <w:rsid w:val="6747C611"/>
    <w:rsid w:val="6967C44F"/>
    <w:rsid w:val="6AFE082F"/>
    <w:rsid w:val="6B3F1149"/>
    <w:rsid w:val="6BFBCA19"/>
    <w:rsid w:val="6BFFA1DD"/>
    <w:rsid w:val="6D7F1472"/>
    <w:rsid w:val="6DCFB8F2"/>
    <w:rsid w:val="6DFBA6FF"/>
    <w:rsid w:val="6EEE7394"/>
    <w:rsid w:val="6F5AE1BC"/>
    <w:rsid w:val="6F63315E"/>
    <w:rsid w:val="6F6F1FFB"/>
    <w:rsid w:val="6F7BF0E9"/>
    <w:rsid w:val="6F7ED863"/>
    <w:rsid w:val="6F7F10D7"/>
    <w:rsid w:val="6F9F13B3"/>
    <w:rsid w:val="6FB3FA08"/>
    <w:rsid w:val="6FEF5773"/>
    <w:rsid w:val="6FEFDF07"/>
    <w:rsid w:val="6FFA64E0"/>
    <w:rsid w:val="6FFE2481"/>
    <w:rsid w:val="6FFF2367"/>
    <w:rsid w:val="6FFF6092"/>
    <w:rsid w:val="7177AD98"/>
    <w:rsid w:val="719A5703"/>
    <w:rsid w:val="72FFACC5"/>
    <w:rsid w:val="733FB675"/>
    <w:rsid w:val="73FCD22B"/>
    <w:rsid w:val="73FF0EBB"/>
    <w:rsid w:val="74D2A5DD"/>
    <w:rsid w:val="75BF8F62"/>
    <w:rsid w:val="75CF8649"/>
    <w:rsid w:val="75FFDE1F"/>
    <w:rsid w:val="765D88E0"/>
    <w:rsid w:val="767E7C23"/>
    <w:rsid w:val="769BD12D"/>
    <w:rsid w:val="76E7B2D8"/>
    <w:rsid w:val="76F72750"/>
    <w:rsid w:val="7757B956"/>
    <w:rsid w:val="7771EDFB"/>
    <w:rsid w:val="777ACDB4"/>
    <w:rsid w:val="777F955E"/>
    <w:rsid w:val="779D0D70"/>
    <w:rsid w:val="77AFA9FF"/>
    <w:rsid w:val="77CFAB10"/>
    <w:rsid w:val="77DDFC48"/>
    <w:rsid w:val="77ED1647"/>
    <w:rsid w:val="77ED5A66"/>
    <w:rsid w:val="77FE10C6"/>
    <w:rsid w:val="77FF035D"/>
    <w:rsid w:val="77FF0536"/>
    <w:rsid w:val="77FF0B43"/>
    <w:rsid w:val="77FF460D"/>
    <w:rsid w:val="784F5B69"/>
    <w:rsid w:val="78BF3447"/>
    <w:rsid w:val="78EF3F42"/>
    <w:rsid w:val="7955FF08"/>
    <w:rsid w:val="79B3B597"/>
    <w:rsid w:val="79FD1BDB"/>
    <w:rsid w:val="7ADB6DCD"/>
    <w:rsid w:val="7B3F8070"/>
    <w:rsid w:val="7B7594EA"/>
    <w:rsid w:val="7BB9A245"/>
    <w:rsid w:val="7BBF375C"/>
    <w:rsid w:val="7BBFE2A8"/>
    <w:rsid w:val="7BCE7E19"/>
    <w:rsid w:val="7BD7461C"/>
    <w:rsid w:val="7BD8D80B"/>
    <w:rsid w:val="7BE91225"/>
    <w:rsid w:val="7BEDE83A"/>
    <w:rsid w:val="7BF6A9F2"/>
    <w:rsid w:val="7C7BD4DB"/>
    <w:rsid w:val="7C8E6AF2"/>
    <w:rsid w:val="7CE74FB9"/>
    <w:rsid w:val="7CF63EFB"/>
    <w:rsid w:val="7CFCA9CB"/>
    <w:rsid w:val="7CFF9DDD"/>
    <w:rsid w:val="7D733DF5"/>
    <w:rsid w:val="7D798E07"/>
    <w:rsid w:val="7D7FD973"/>
    <w:rsid w:val="7D9B46DA"/>
    <w:rsid w:val="7DBFEA3A"/>
    <w:rsid w:val="7DD70DD2"/>
    <w:rsid w:val="7DDF695F"/>
    <w:rsid w:val="7DF01788"/>
    <w:rsid w:val="7DF0E997"/>
    <w:rsid w:val="7DF798D4"/>
    <w:rsid w:val="7DFBF347"/>
    <w:rsid w:val="7EAFFF71"/>
    <w:rsid w:val="7EF22EE4"/>
    <w:rsid w:val="7EFED651"/>
    <w:rsid w:val="7F24DAE1"/>
    <w:rsid w:val="7F5FA8A2"/>
    <w:rsid w:val="7F6492B9"/>
    <w:rsid w:val="7F6A9D39"/>
    <w:rsid w:val="7F6DB436"/>
    <w:rsid w:val="7F8556C5"/>
    <w:rsid w:val="7F9B375D"/>
    <w:rsid w:val="7FAFD40B"/>
    <w:rsid w:val="7FB668BF"/>
    <w:rsid w:val="7FB74692"/>
    <w:rsid w:val="7FBE319A"/>
    <w:rsid w:val="7FBF2B1A"/>
    <w:rsid w:val="7FBF6A79"/>
    <w:rsid w:val="7FC704A5"/>
    <w:rsid w:val="7FCF9384"/>
    <w:rsid w:val="7FD5788C"/>
    <w:rsid w:val="7FDF4EAB"/>
    <w:rsid w:val="7FEDE98A"/>
    <w:rsid w:val="7FF73656"/>
    <w:rsid w:val="7FF73C4F"/>
    <w:rsid w:val="7FF96C43"/>
    <w:rsid w:val="7FFA5E1B"/>
    <w:rsid w:val="7FFAFDAA"/>
    <w:rsid w:val="7FFB6B80"/>
    <w:rsid w:val="7FFF4168"/>
    <w:rsid w:val="7FFF60BD"/>
    <w:rsid w:val="7FFF6F61"/>
    <w:rsid w:val="7FFFA342"/>
    <w:rsid w:val="7FFFB4F1"/>
    <w:rsid w:val="7FFFB6C4"/>
    <w:rsid w:val="7FFFDC51"/>
    <w:rsid w:val="7FFFDFB0"/>
    <w:rsid w:val="7FFFE946"/>
    <w:rsid w:val="8BE64B3E"/>
    <w:rsid w:val="8E6E9B0D"/>
    <w:rsid w:val="8FED935F"/>
    <w:rsid w:val="8FFF7CC1"/>
    <w:rsid w:val="97E977E5"/>
    <w:rsid w:val="987EA4BA"/>
    <w:rsid w:val="9A4F3EBA"/>
    <w:rsid w:val="9A7B21F7"/>
    <w:rsid w:val="9EFE1AEB"/>
    <w:rsid w:val="9F6F6C73"/>
    <w:rsid w:val="9F7B13D0"/>
    <w:rsid w:val="9FA71FC5"/>
    <w:rsid w:val="9FCFAF3A"/>
    <w:rsid w:val="9FD51618"/>
    <w:rsid w:val="A36E9221"/>
    <w:rsid w:val="A3DFDA80"/>
    <w:rsid w:val="A3F74D5C"/>
    <w:rsid w:val="A5276676"/>
    <w:rsid w:val="A77F3311"/>
    <w:rsid w:val="AA7FDB96"/>
    <w:rsid w:val="AABFDA4F"/>
    <w:rsid w:val="ADBF7959"/>
    <w:rsid w:val="AE79BEF3"/>
    <w:rsid w:val="AEBAE9A2"/>
    <w:rsid w:val="AECB3150"/>
    <w:rsid w:val="AEF95B4A"/>
    <w:rsid w:val="AEFF915F"/>
    <w:rsid w:val="AF15E4A7"/>
    <w:rsid w:val="AFBFDD15"/>
    <w:rsid w:val="B17FF835"/>
    <w:rsid w:val="B3F6AD45"/>
    <w:rsid w:val="B5BF69B7"/>
    <w:rsid w:val="B5DFD54E"/>
    <w:rsid w:val="B672A546"/>
    <w:rsid w:val="B77CAAE5"/>
    <w:rsid w:val="B7DFF9FC"/>
    <w:rsid w:val="BABF3D5C"/>
    <w:rsid w:val="BADB5340"/>
    <w:rsid w:val="BBEF0A45"/>
    <w:rsid w:val="BBF7EB5E"/>
    <w:rsid w:val="BBFFF1C6"/>
    <w:rsid w:val="BC5F187C"/>
    <w:rsid w:val="BCEB455C"/>
    <w:rsid w:val="BDF483A9"/>
    <w:rsid w:val="BE55A51B"/>
    <w:rsid w:val="BE6FE960"/>
    <w:rsid w:val="BE726EFE"/>
    <w:rsid w:val="BE7F63FA"/>
    <w:rsid w:val="BEDBE149"/>
    <w:rsid w:val="BEFFCCA3"/>
    <w:rsid w:val="BF3CEB0F"/>
    <w:rsid w:val="BF746E46"/>
    <w:rsid w:val="BF7E716A"/>
    <w:rsid w:val="BF924941"/>
    <w:rsid w:val="BFAF6094"/>
    <w:rsid w:val="BFB952F5"/>
    <w:rsid w:val="BFBF8233"/>
    <w:rsid w:val="BFDF305D"/>
    <w:rsid w:val="BFE55F7B"/>
    <w:rsid w:val="BFE9D4F8"/>
    <w:rsid w:val="BFEA6BC5"/>
    <w:rsid w:val="BFEF73A2"/>
    <w:rsid w:val="BFF08921"/>
    <w:rsid w:val="BFF5447D"/>
    <w:rsid w:val="BFF7469C"/>
    <w:rsid w:val="BFFD41AA"/>
    <w:rsid w:val="BFFF33EE"/>
    <w:rsid w:val="BFFF4068"/>
    <w:rsid w:val="BFFFFAED"/>
    <w:rsid w:val="C5AF6C12"/>
    <w:rsid w:val="C75579BD"/>
    <w:rsid w:val="C7FB01D4"/>
    <w:rsid w:val="CBF7FD74"/>
    <w:rsid w:val="CDFF22B1"/>
    <w:rsid w:val="CDFF4664"/>
    <w:rsid w:val="CDFFE37A"/>
    <w:rsid w:val="CF655D20"/>
    <w:rsid w:val="CFFF0B2B"/>
    <w:rsid w:val="D3FE1827"/>
    <w:rsid w:val="D4F5229F"/>
    <w:rsid w:val="D5CFD4C5"/>
    <w:rsid w:val="D7F76DF6"/>
    <w:rsid w:val="D7F7CA42"/>
    <w:rsid w:val="DAFB48AD"/>
    <w:rsid w:val="DB3FE91D"/>
    <w:rsid w:val="DBCBFD68"/>
    <w:rsid w:val="DC5A1FB5"/>
    <w:rsid w:val="DCCF4E73"/>
    <w:rsid w:val="DD7F1237"/>
    <w:rsid w:val="DEAFD5F6"/>
    <w:rsid w:val="DED4B667"/>
    <w:rsid w:val="DEFF2C67"/>
    <w:rsid w:val="DF77932D"/>
    <w:rsid w:val="DFADE5F1"/>
    <w:rsid w:val="E1AB6901"/>
    <w:rsid w:val="E4FF5A22"/>
    <w:rsid w:val="E5BFF165"/>
    <w:rsid w:val="E77DA01D"/>
    <w:rsid w:val="E7978649"/>
    <w:rsid w:val="E7D97254"/>
    <w:rsid w:val="E7EFE12F"/>
    <w:rsid w:val="E83B4F1B"/>
    <w:rsid w:val="EAFD54E5"/>
    <w:rsid w:val="EBDE86E2"/>
    <w:rsid w:val="ED32ACB0"/>
    <w:rsid w:val="EDCB1A02"/>
    <w:rsid w:val="EDFA18D3"/>
    <w:rsid w:val="EDFA7BF5"/>
    <w:rsid w:val="EE37A195"/>
    <w:rsid w:val="EE505D6F"/>
    <w:rsid w:val="EE5C8250"/>
    <w:rsid w:val="EEFF0F9E"/>
    <w:rsid w:val="EF6F232E"/>
    <w:rsid w:val="EF71BDEB"/>
    <w:rsid w:val="EF7D3F5E"/>
    <w:rsid w:val="EF9FC7F7"/>
    <w:rsid w:val="EFB068AD"/>
    <w:rsid w:val="EFE50FC2"/>
    <w:rsid w:val="EFEFBF59"/>
    <w:rsid w:val="EFEFF944"/>
    <w:rsid w:val="EFF770AC"/>
    <w:rsid w:val="EFFCF23E"/>
    <w:rsid w:val="EFFF88FD"/>
    <w:rsid w:val="F18F6653"/>
    <w:rsid w:val="F2FF9FEE"/>
    <w:rsid w:val="F35F5B47"/>
    <w:rsid w:val="F383A54C"/>
    <w:rsid w:val="F3EFDD49"/>
    <w:rsid w:val="F3FEF60E"/>
    <w:rsid w:val="F3FF9AF7"/>
    <w:rsid w:val="F4BE5156"/>
    <w:rsid w:val="F52F5D69"/>
    <w:rsid w:val="F57EC0DB"/>
    <w:rsid w:val="F5BE1686"/>
    <w:rsid w:val="F5F3062E"/>
    <w:rsid w:val="F65BFDC6"/>
    <w:rsid w:val="F69FC7FB"/>
    <w:rsid w:val="F6EBC778"/>
    <w:rsid w:val="F6FD0BA1"/>
    <w:rsid w:val="F75F19EA"/>
    <w:rsid w:val="F777D83C"/>
    <w:rsid w:val="F7EDF674"/>
    <w:rsid w:val="F7EFE472"/>
    <w:rsid w:val="F7F63BC9"/>
    <w:rsid w:val="F7F7E61D"/>
    <w:rsid w:val="F7F8DBBA"/>
    <w:rsid w:val="F7FAC594"/>
    <w:rsid w:val="F7FF741E"/>
    <w:rsid w:val="F8F3D424"/>
    <w:rsid w:val="FAF5834E"/>
    <w:rsid w:val="FAFAA9F5"/>
    <w:rsid w:val="FAFD4A1B"/>
    <w:rsid w:val="FB1C31A4"/>
    <w:rsid w:val="FB588BE6"/>
    <w:rsid w:val="FB5FDA19"/>
    <w:rsid w:val="FB657244"/>
    <w:rsid w:val="FB7DACB4"/>
    <w:rsid w:val="FBBD66DD"/>
    <w:rsid w:val="FBBE2C1A"/>
    <w:rsid w:val="FBD7CAC4"/>
    <w:rsid w:val="FBD84ABF"/>
    <w:rsid w:val="FBDFA8B7"/>
    <w:rsid w:val="FBDFDB83"/>
    <w:rsid w:val="FBEDD26A"/>
    <w:rsid w:val="FBF6471A"/>
    <w:rsid w:val="FBF71B86"/>
    <w:rsid w:val="FBFBCA48"/>
    <w:rsid w:val="FBFF1265"/>
    <w:rsid w:val="FBFFC378"/>
    <w:rsid w:val="FBFFF272"/>
    <w:rsid w:val="FCDFB80B"/>
    <w:rsid w:val="FCFD18DA"/>
    <w:rsid w:val="FCFF8F68"/>
    <w:rsid w:val="FCFFDEF8"/>
    <w:rsid w:val="FD2A0BC2"/>
    <w:rsid w:val="FD4F5EAB"/>
    <w:rsid w:val="FDBF4A49"/>
    <w:rsid w:val="FDDFA029"/>
    <w:rsid w:val="FDF72A8F"/>
    <w:rsid w:val="FDF9C4F7"/>
    <w:rsid w:val="FDF9F800"/>
    <w:rsid w:val="FDFB490F"/>
    <w:rsid w:val="FDFCC89A"/>
    <w:rsid w:val="FDFDA4EC"/>
    <w:rsid w:val="FDFDEFE8"/>
    <w:rsid w:val="FDFEABC9"/>
    <w:rsid w:val="FE762EC6"/>
    <w:rsid w:val="FE7F1D67"/>
    <w:rsid w:val="FEA5727B"/>
    <w:rsid w:val="FEBF884F"/>
    <w:rsid w:val="FED79BC1"/>
    <w:rsid w:val="FEF7008F"/>
    <w:rsid w:val="FEFF7351"/>
    <w:rsid w:val="FF3597D7"/>
    <w:rsid w:val="FF3DC35E"/>
    <w:rsid w:val="FF3F4EEB"/>
    <w:rsid w:val="FF65EB93"/>
    <w:rsid w:val="FF6E566B"/>
    <w:rsid w:val="FF75316F"/>
    <w:rsid w:val="FF77D34D"/>
    <w:rsid w:val="FF7B9AE1"/>
    <w:rsid w:val="FF7F089D"/>
    <w:rsid w:val="FF7F1A48"/>
    <w:rsid w:val="FF7F5859"/>
    <w:rsid w:val="FF8FF821"/>
    <w:rsid w:val="FF9F5682"/>
    <w:rsid w:val="FFA8B1D1"/>
    <w:rsid w:val="FFB07766"/>
    <w:rsid w:val="FFB5CD4B"/>
    <w:rsid w:val="FFBD8EBC"/>
    <w:rsid w:val="FFBE9F2D"/>
    <w:rsid w:val="FFBEEDE7"/>
    <w:rsid w:val="FFBF8AF1"/>
    <w:rsid w:val="FFBFFC50"/>
    <w:rsid w:val="FFCC5010"/>
    <w:rsid w:val="FFCE734F"/>
    <w:rsid w:val="FFD391B3"/>
    <w:rsid w:val="FFE6DE45"/>
    <w:rsid w:val="FFEBFA22"/>
    <w:rsid w:val="FFF30F10"/>
    <w:rsid w:val="FFF74FD7"/>
    <w:rsid w:val="FFF92A17"/>
    <w:rsid w:val="FFFA67EF"/>
    <w:rsid w:val="FFFB52AE"/>
    <w:rsid w:val="FFFB8176"/>
    <w:rsid w:val="FFFDBD2D"/>
    <w:rsid w:val="FFFEABAD"/>
    <w:rsid w:val="FFFF1ADF"/>
    <w:rsid w:val="FFFF6668"/>
    <w:rsid w:val="FFFF9CBF"/>
    <w:rsid w:val="FFFFAE3F"/>
    <w:rsid w:val="FFFFB0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iPriority="99"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nhideWhenUsed="0" w:uiPriority="0" w:semiHidden="0"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autoSpaceDN/>
      <w:jc w:val="both"/>
    </w:pPr>
    <w:rPr>
      <w:rFonts w:ascii="Calibri" w:hAnsi="Calibri" w:eastAsia="宋体" w:cs="Times New Roman"/>
      <w:kern w:val="2"/>
      <w:sz w:val="21"/>
      <w:szCs w:val="24"/>
      <w:lang w:val="en-US" w:eastAsia="zh-CN" w:bidi="ar-SA"/>
    </w:rPr>
  </w:style>
  <w:style w:type="character" w:default="1" w:styleId="9">
    <w:name w:val="Default Paragraph Font"/>
    <w:qFormat/>
    <w:uiPriority w:val="0"/>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Chars="200"/>
    </w:pPr>
    <w:rPr>
      <w:rFonts w:ascii="Calibri" w:hAnsi="Calibri" w:eastAsia="宋体"/>
    </w:rPr>
  </w:style>
  <w:style w:type="paragraph" w:styleId="3">
    <w:name w:val="Body Text"/>
    <w:basedOn w:val="1"/>
    <w:qFormat/>
    <w:uiPriority w:val="0"/>
    <w:pPr>
      <w:spacing w:after="120" w:afterAutospacing="0"/>
    </w:pPr>
    <w:rPr>
      <w:rFonts w:ascii="Calibri" w:hAnsi="Calibri" w:eastAsia="宋体" w:cs="Times New Roman"/>
      <w:szCs w:val="24"/>
      <w:lang w:val="en-US" w:eastAsia="zh-CN" w:bidi="ar-SA"/>
    </w:rPr>
  </w:style>
  <w:style w:type="paragraph" w:styleId="4">
    <w:name w:val="footer"/>
    <w:basedOn w:val="1"/>
    <w:qFormat/>
    <w:uiPriority w:val="0"/>
    <w:pPr>
      <w:tabs>
        <w:tab w:val="center" w:pos="4153"/>
        <w:tab w:val="right" w:pos="8306"/>
      </w:tabs>
      <w:snapToGrid w:val="0"/>
      <w:jc w:val="left"/>
    </w:pPr>
    <w:rPr>
      <w:rFonts w:ascii="Calibri" w:hAnsi="Calibri" w:eastAsia="宋体" w:cs="Times New Roman"/>
      <w:sz w:val="18"/>
      <w:szCs w:val="18"/>
      <w:lang w:val="en-US" w:eastAsia="zh-CN" w:bidi="ar-SA"/>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p1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1">
    <w:name w:val="线型"/>
    <w:basedOn w:val="12"/>
    <w:qFormat/>
    <w:uiPriority w:val="0"/>
    <w:pPr>
      <w:spacing w:line="240" w:lineRule="auto"/>
      <w:ind w:left="0" w:firstLine="0"/>
      <w:jc w:val="center"/>
    </w:pPr>
    <w:rPr>
      <w:sz w:val="21"/>
    </w:rPr>
  </w:style>
  <w:style w:type="paragraph" w:customStyle="1" w:styleId="12">
    <w:name w:val="抄送栏"/>
    <w:basedOn w:val="1"/>
    <w:qFormat/>
    <w:uiPriority w:val="0"/>
    <w:pPr>
      <w:adjustRightInd w:val="0"/>
      <w:snapToGrid/>
      <w:spacing w:line="454" w:lineRule="atLeast"/>
      <w:ind w:left="1310" w:right="357" w:hanging="953"/>
    </w:pPr>
  </w:style>
  <w:style w:type="character" w:customStyle="1" w:styleId="13">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3453</Words>
  <Characters>3494</Characters>
  <TotalTime>3</TotalTime>
  <ScaleCrop>false</ScaleCrop>
  <LinksUpToDate>false</LinksUpToDate>
  <CharactersWithSpaces>3567</CharactersWithSpaces>
  <Application>WPS Office_11.1.0.14036_F1E327BC-269C-435d-A152-05C5408002CA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2021-07-07T14:47:00Z</dcterms:created>
  <dc:creator>kylin</dc:creator>
  <cp:lastModifiedBy>acer</cp:lastModifiedBy>
  <cp:lastPrinted>2023-04-25T07:59:00Z</cp:lastPrinted>
  <dcterms:modified xsi:type="dcterms:W3CDTF">2023-04-27T02:55:40Z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0BEC456A953C4399B8AD3736F8DFB0BE_12</vt:lpwstr>
  </property>
</Properties>
</file>